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Xbb6b4cb3b47acac03bbe895f8ee718e5c9d91ad"/>
    <w:p>
      <w:pPr>
        <w:pStyle w:val="Heading2"/>
      </w:pPr>
      <w:r>
        <w:t xml:space="preserve">Parecer do Advogado – Risco de Instabilidade Emocional da Menor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1234/2026 – Alteração da Regulação das Responsabilidades Parentais – Menor de 8 anos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Maria da Conceição Silva, NIF 224 567 890, residente em Rua da Boavista, nº 12, 3.º Esq., 1200‑115 Lisboa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José António Pereira, NIF 317 892 654, residente em Avenida da República, nº 45, 4.º B, 4000‑123 Porto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 Ana Sofia Martins – OA 12345, e Dr. Luís Fernando Carvalho – OA 67890, ambos advogados inscritos na Ordem dos Advogados, sede em Lisboa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da Família e dos Menores da Comarca de Lisboa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22 de fevereiro de 2026</w:t>
      </w:r>
    </w:p>
    <w:p>
      <w:r>
        <w:pict>
          <v:rect style="width:0;height:1.5pt" o:hralign="center" o:hrstd="t" o:hr="t"/>
        </w:pict>
      </w:r>
    </w:p>
    <w:bookmarkStart w:id="9" w:name="i.-objeto-do-parecer"/>
    <w:p>
      <w:pPr>
        <w:pStyle w:val="Heading3"/>
      </w:pPr>
      <w:r>
        <w:t xml:space="preserve">I. Objeto do Parecer</w:t>
      </w:r>
    </w:p>
    <w:p>
      <w:pPr>
        <w:pStyle w:val="FirstParagraph"/>
      </w:pPr>
      <w:r>
        <w:t xml:space="preserve">Solicitado pelos mandatários da requerente, o presente parecer tem por objetivo: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Analisar juridicamente</w:t>
      </w:r>
      <w:r>
        <w:t xml:space="preserve"> </w:t>
      </w:r>
      <w:r>
        <w:t xml:space="preserve">os riscos de instabilidade emocional da menor Ana Sofia Pereira, de 8 anos, decorrentes da não observância da nova guarda e do regime de visitas proposto;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Propor medidas de acompanhamento</w:t>
      </w:r>
      <w:r>
        <w:t xml:space="preserve"> </w:t>
      </w:r>
      <w:r>
        <w:t xml:space="preserve">que garantam a proteção do melhor interesse da criança, nos termos do artigo 190.º do Código Civil e da jurisprudência consolidada da Constituição da República Portuguesa.</w:t>
      </w:r>
    </w:p>
    <w:p>
      <w:r>
        <w:pict>
          <v:rect style="width:0;height:1.5pt" o:hralign="center" o:hrstd="t" o:hr="t"/>
        </w:pict>
      </w:r>
    </w:p>
    <w:bookmarkEnd w:id="9"/>
    <w:bookmarkStart w:id="10" w:name="ii.-fatos-relevantes"/>
    <w:p>
      <w:pPr>
        <w:pStyle w:val="Heading3"/>
      </w:pPr>
      <w:r>
        <w:t xml:space="preserve">II. Fatos Relevantes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80"/>
        <w:gridCol w:w="48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Facto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Mudança unilateral de residência</w:t>
            </w:r>
          </w:p>
        </w:tc>
        <w:tc>
          <w:tcPr/>
          <w:p>
            <w:pPr>
              <w:pStyle w:val="Compact"/>
            </w:pPr>
            <w:r>
              <w:t xml:space="preserve">O réu, José António Pereira, mudou‑se de Lisboa para a cidade de Coimbra (residência atual: Rua da Universidade, nº 78, 3000‑456 Coimbra) sem comunicação prévia à mãe nem autorização judicial.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Incumprimento do regime de visitas</w:t>
            </w:r>
          </w:p>
        </w:tc>
        <w:tc>
          <w:tcPr/>
          <w:p>
            <w:pPr>
              <w:pStyle w:val="Compact"/>
            </w:pPr>
            <w:r>
              <w:t xml:space="preserve">O regime estabelecido em sentença de 15 de março de 2023 fixava visitas quinzenais de 2 h a 4 h, sem supervisão. Desde 10 de janeiro de 2026, o réu tem faltado a 6 (seis) visitas consecutivas, justificando‑as por “imprevistos profissionais”.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Sinais de instabilidade emocional</w:t>
            </w:r>
          </w:p>
        </w:tc>
        <w:tc>
          <w:tcPr/>
          <w:p>
            <w:pPr>
              <w:pStyle w:val="Compact"/>
            </w:pPr>
            <w:r>
              <w:t xml:space="preserve">A menor tem apresentado, segundo relatório do psicólogo Dr. Mário Gonçalves (consultório: Rua das Flores, nº 23, 1200‑345 Lisboa), episódios de ansiedade, regressão de comportamento (pesadelos, medo de dormir sozinha) e queda de rendimento escolar (nota média 11,5 em 2025, frente a 14,2 em 2023).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 da requerente</w:t>
            </w:r>
          </w:p>
        </w:tc>
        <w:tc>
          <w:tcPr/>
          <w:p>
            <w:pPr>
              <w:pStyle w:val="Compact"/>
            </w:pPr>
            <w:r>
              <w:t xml:space="preserve">Modificação da guarda para</w:t>
            </w:r>
            <w:r>
              <w:t xml:space="preserve"> </w:t>
            </w:r>
            <w:r>
              <w:rPr>
                <w:b/>
                <w:bCs/>
              </w:rPr>
              <w:t xml:space="preserve">guarda exclusiva</w:t>
            </w:r>
            <w:r>
              <w:t xml:space="preserve"> </w:t>
            </w:r>
            <w:r>
              <w:t xml:space="preserve">à mãe, com</w:t>
            </w:r>
            <w:r>
              <w:t xml:space="preserve"> </w:t>
            </w:r>
            <w:r>
              <w:rPr>
                <w:b/>
                <w:bCs/>
              </w:rPr>
              <w:t xml:space="preserve">visitas supervisionadas</w:t>
            </w:r>
            <w:r>
              <w:t xml:space="preserve"> </w:t>
            </w:r>
            <w:r>
              <w:t xml:space="preserve">ao pai, a serem realizadas em centro especializado (Associação de Apoio à Família – Lisboa, Rua da Esperança, nº 5, 1150‑150 Lisboa).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5" w:name="iii.-fundamentação-jurídica"/>
    <w:p>
      <w:pPr>
        <w:pStyle w:val="Heading3"/>
      </w:pPr>
      <w:r>
        <w:t xml:space="preserve">III. Fundamentação Jurídica</w:t>
      </w:r>
    </w:p>
    <w:bookmarkStart w:id="11" w:name="princípio-do-melhor-interesse-da-criança"/>
    <w:p>
      <w:pPr>
        <w:pStyle w:val="Heading4"/>
      </w:pPr>
      <w:r>
        <w:t xml:space="preserve">1. Princípio do Melhor Interesse da Criança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 190.º do Código Civil</w:t>
      </w:r>
      <w:r>
        <w:t xml:space="preserve"> </w:t>
      </w:r>
      <w:r>
        <w:t xml:space="preserve">– “A guarda e a responsabilidade parental devem ser exercidas no melhor interesse da criança”.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 3.º da Constituição da República Portuguesa</w:t>
      </w:r>
      <w:r>
        <w:t xml:space="preserve"> </w:t>
      </w:r>
      <w:r>
        <w:t xml:space="preserve">– garante a proteção da família e dos menores.</w:t>
      </w:r>
    </w:p>
    <w:bookmarkEnd w:id="11"/>
    <w:bookmarkStart w:id="12" w:name="obrigação-de-coparentalidade"/>
    <w:p>
      <w:pPr>
        <w:pStyle w:val="Heading4"/>
      </w:pPr>
      <w:r>
        <w:t xml:space="preserve">2. Obrigação de Co‑Parentalidade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Artigo 188.º do Código Civil</w:t>
      </w:r>
      <w:r>
        <w:t xml:space="preserve"> </w:t>
      </w:r>
      <w:r>
        <w:t xml:space="preserve">– impõe a ambos os progenitores o dever de colaboração na educação e no desenvolvimento integral da criança, não podendo um dos pais obstruir o exercício do direito de visitação do outro sem justa causa.</w:t>
      </w:r>
    </w:p>
    <w:bookmarkEnd w:id="12"/>
    <w:bookmarkStart w:id="13" w:name="jurisprudência-aplicável"/>
    <w:p>
      <w:pPr>
        <w:pStyle w:val="Heading4"/>
      </w:pPr>
      <w:r>
        <w:t xml:space="preserve">3. Jurisprudência Aplicável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33"/>
        <w:gridCol w:w="1760"/>
        <w:gridCol w:w="322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Tribunal</w:t>
            </w:r>
          </w:p>
        </w:tc>
        <w:tc>
          <w:tcPr/>
          <w:p>
            <w:pPr>
              <w:pStyle w:val="Compact"/>
            </w:pPr>
            <w:r>
              <w:t xml:space="preserve">Ref.</w:t>
            </w:r>
          </w:p>
        </w:tc>
        <w:tc>
          <w:tcPr/>
          <w:p>
            <w:pPr>
              <w:pStyle w:val="Compact"/>
            </w:pPr>
            <w:r>
              <w:t xml:space="preserve">Enunciado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Supremo Tribunal de Justiça (STJ)</w:t>
            </w:r>
          </w:p>
        </w:tc>
        <w:tc>
          <w:tcPr/>
          <w:p>
            <w:pPr>
              <w:pStyle w:val="Compact"/>
            </w:pPr>
            <w:r>
              <w:t xml:space="preserve">Acórdão 112/2021</w:t>
            </w:r>
          </w:p>
        </w:tc>
        <w:tc>
          <w:tcPr/>
          <w:p>
            <w:pPr>
              <w:pStyle w:val="Compact"/>
            </w:pPr>
            <w:r>
              <w:t xml:space="preserve">“A alteração da guarda pode ser decretada quando existam indícios claros de risco à saúde psicológica da criança decorrentes da prática reiterada de incumprimento do regime de visitas”.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Tribunal da Família e dos Menores de Lisboa</w:t>
            </w:r>
          </w:p>
        </w:tc>
        <w:tc>
          <w:tcPr/>
          <w:p>
            <w:pPr>
              <w:pStyle w:val="Compact"/>
            </w:pPr>
            <w:r>
              <w:t xml:space="preserve">Processo 987/2022</w:t>
            </w:r>
          </w:p>
        </w:tc>
        <w:tc>
          <w:tcPr/>
          <w:p>
            <w:pPr>
              <w:pStyle w:val="Compact"/>
            </w:pPr>
            <w:r>
              <w:t xml:space="preserve">“Visitas supervisionadas são medida cautelar adequada quando se verifica que a presença do genitor provoca ansiedade ou medo na menor”.</w:t>
            </w:r>
          </w:p>
        </w:tc>
      </w:tr>
    </w:tbl>
    <w:bookmarkEnd w:id="13"/>
    <w:bookmarkStart w:id="14" w:name="X811a1822cc606e712b55086b792973b8f60e316"/>
    <w:p>
      <w:pPr>
        <w:pStyle w:val="Heading4"/>
      </w:pPr>
      <w:r>
        <w:t xml:space="preserve">4. Responsabilidade Civil por Danos Emocionais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Artigo 483.º do Código Civil</w:t>
      </w:r>
      <w:r>
        <w:t xml:space="preserve"> </w:t>
      </w:r>
      <w:r>
        <w:t xml:space="preserve">– a parte que, dolosamente ou culposamente, cause dano a outrem, tem de o indemnizar.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O incumprimento reiterado das visitas, aliado à mudança de residência sem consentimento, pode ser considerado culpa grave, geradora de responsabilidade civil pelos prejuízos emocionais suportados pela menor.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6" w:name="X81bf7dd990f63776ec50a9bef7a522daae7255f"/>
    <w:p>
      <w:pPr>
        <w:pStyle w:val="Heading3"/>
      </w:pPr>
      <w:r>
        <w:t xml:space="preserve">IV. Análise dos Riscos de Instabilidade Emocional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52"/>
        <w:gridCol w:w="2124"/>
        <w:gridCol w:w="444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Risco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Consequência Jurídica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Descontinuidade afetiva</w:t>
            </w:r>
          </w:p>
        </w:tc>
        <w:tc>
          <w:tcPr/>
          <w:p>
            <w:pPr>
              <w:pStyle w:val="Compact"/>
            </w:pPr>
            <w:r>
              <w:t xml:space="preserve">Falta de contacto regular com o pai cria sensação de abandono e insegurança.</w:t>
            </w:r>
          </w:p>
        </w:tc>
        <w:tc>
          <w:tcPr/>
          <w:p>
            <w:pPr>
              <w:pStyle w:val="Compact"/>
            </w:pPr>
            <w:r>
              <w:t xml:space="preserve">Pode justificar a</w:t>
            </w:r>
            <w:r>
              <w:t xml:space="preserve"> </w:t>
            </w:r>
            <w:r>
              <w:rPr>
                <w:b/>
                <w:bCs/>
              </w:rPr>
              <w:t xml:space="preserve">modificação da guarda</w:t>
            </w:r>
            <w:r>
              <w:t xml:space="preserve"> </w:t>
            </w:r>
            <w:r>
              <w:t xml:space="preserve">e a imposição de</w:t>
            </w:r>
            <w:r>
              <w:t xml:space="preserve"> </w:t>
            </w:r>
            <w:r>
              <w:rPr>
                <w:b/>
                <w:bCs/>
              </w:rPr>
              <w:t xml:space="preserve">visitas supervisionadas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Regressão comportamental</w:t>
            </w:r>
          </w:p>
        </w:tc>
        <w:tc>
          <w:tcPr/>
          <w:p>
            <w:pPr>
              <w:pStyle w:val="Compact"/>
            </w:pPr>
            <w:r>
              <w:t xml:space="preserve">Pesadelos, medo de dormir sozinha e regressão a comportamentos infantis (ex.: chupar o dedo).</w:t>
            </w:r>
          </w:p>
        </w:tc>
        <w:tc>
          <w:tcPr/>
          <w:p>
            <w:pPr>
              <w:pStyle w:val="Compact"/>
            </w:pPr>
            <w:r>
              <w:t xml:space="preserve">Evidencia a necessidade de</w:t>
            </w:r>
            <w:r>
              <w:t xml:space="preserve"> </w:t>
            </w:r>
            <w:r>
              <w:rPr>
                <w:b/>
                <w:bCs/>
              </w:rPr>
              <w:t xml:space="preserve">intervenção psicológica</w:t>
            </w:r>
            <w:r>
              <w:t xml:space="preserve"> </w:t>
            </w:r>
            <w:r>
              <w:t xml:space="preserve">e de</w:t>
            </w:r>
            <w:r>
              <w:t xml:space="preserve"> </w:t>
            </w:r>
            <w:r>
              <w:rPr>
                <w:b/>
                <w:bCs/>
              </w:rPr>
              <w:t xml:space="preserve">monitorização do vínculo parental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Deterioração do desempenho escolar</w:t>
            </w:r>
          </w:p>
        </w:tc>
        <w:tc>
          <w:tcPr/>
          <w:p>
            <w:pPr>
              <w:pStyle w:val="Compact"/>
            </w:pPr>
            <w:r>
              <w:t xml:space="preserve">Queda de nota média de 14,2 para 11,5, risco de abandono escolar.</w:t>
            </w:r>
          </w:p>
        </w:tc>
        <w:tc>
          <w:tcPr/>
          <w:p>
            <w:pPr>
              <w:pStyle w:val="Compact"/>
            </w:pPr>
            <w:r>
              <w:t xml:space="preserve">Atribui ao tribunal a obrigação de</w:t>
            </w:r>
            <w:r>
              <w:t xml:space="preserve"> </w:t>
            </w:r>
            <w:r>
              <w:rPr>
                <w:b/>
                <w:bCs/>
              </w:rPr>
              <w:t xml:space="preserve">prover medidas de apoio educacional</w:t>
            </w:r>
            <w:r>
              <w:t xml:space="preserve"> </w:t>
            </w:r>
            <w:r>
              <w:t xml:space="preserve">e de</w:t>
            </w:r>
            <w:r>
              <w:t xml:space="preserve"> </w:t>
            </w:r>
            <w:r>
              <w:rPr>
                <w:b/>
                <w:bCs/>
              </w:rPr>
              <w:t xml:space="preserve">garantir estabilidade residencial</w:t>
            </w:r>
            <w:r>
              <w:t xml:space="preserve">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Impacto na saúde mental a longo prazo</w:t>
            </w:r>
          </w:p>
        </w:tc>
        <w:tc>
          <w:tcPr/>
          <w:p>
            <w:pPr>
              <w:pStyle w:val="Compact"/>
            </w:pPr>
            <w:r>
              <w:t xml:space="preserve">Possibilidade de desenvolvimento de ansiedade generalizada ou depressão.</w:t>
            </w:r>
          </w:p>
        </w:tc>
        <w:tc>
          <w:tcPr/>
          <w:p>
            <w:pPr>
              <w:pStyle w:val="Compact"/>
            </w:pPr>
            <w:r>
              <w:t xml:space="preserve">Justifica a</w:t>
            </w:r>
            <w:r>
              <w:t xml:space="preserve"> </w:t>
            </w:r>
            <w:r>
              <w:rPr>
                <w:b/>
                <w:bCs/>
              </w:rPr>
              <w:t xml:space="preserve">nomeação de tutor ou curador especializado</w:t>
            </w:r>
            <w:r>
              <w:t xml:space="preserve">, bem como a</w:t>
            </w:r>
            <w:r>
              <w:t xml:space="preserve"> </w:t>
            </w:r>
            <w:r>
              <w:rPr>
                <w:b/>
                <w:bCs/>
              </w:rPr>
              <w:t xml:space="preserve">revisão periódica</w:t>
            </w:r>
            <w:r>
              <w:t xml:space="preserve"> </w:t>
            </w:r>
            <w:r>
              <w:t xml:space="preserve">do plano parental.</w:t>
            </w:r>
          </w:p>
        </w:tc>
      </w:tr>
    </w:tbl>
    <w:p>
      <w:pPr>
        <w:pStyle w:val="BodyText"/>
      </w:pPr>
      <w:r>
        <w:t xml:space="preserve">A soma dos factos demonstra que a situação atual ultrapassa o mero incumprimento contratual de visitas, configurando risco concreto e atual de dano psicológico à menor, nos termos do</w:t>
      </w:r>
      <w:r>
        <w:t xml:space="preserve"> </w:t>
      </w:r>
      <w:r>
        <w:rPr>
          <w:b/>
          <w:bCs/>
        </w:rPr>
        <w:t xml:space="preserve">artigo 190.º do Código Civil</w:t>
      </w:r>
      <w:r>
        <w:t xml:space="preserve"> </w:t>
      </w:r>
      <w:r>
        <w:t xml:space="preserve">e da jurisprudência citada.</w:t>
      </w:r>
    </w:p>
    <w:p>
      <w:r>
        <w:pict>
          <v:rect style="width:0;height:1.5pt" o:hralign="center" o:hrstd="t" o:hr="t"/>
        </w:pict>
      </w:r>
    </w:p>
    <w:bookmarkEnd w:id="16"/>
    <w:bookmarkStart w:id="17" w:name="X4e3cc8cddd988aca2aa59e0e4ea737bccf0c540"/>
    <w:p>
      <w:pPr>
        <w:pStyle w:val="Heading3"/>
      </w:pPr>
      <w:r>
        <w:t xml:space="preserve">V. Propostas de Medidas de Acompanhamento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Guarda Exclusiva à Mãe</w:t>
      </w:r>
      <w:r>
        <w:t xml:space="preserve"> </w:t>
      </w:r>
      <w:r>
        <w:t xml:space="preserve">– a ser formalizada em decisão judicial, com a fixação de domicílio da menor em Lisboa.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Visitas Supervisionadas</w:t>
      </w:r>
      <w:r>
        <w:t xml:space="preserve"> </w:t>
      </w:r>
      <w:r>
        <w:t xml:space="preserve">– a realizar‑se no</w:t>
      </w:r>
      <w:r>
        <w:t xml:space="preserve"> </w:t>
      </w:r>
      <w:r>
        <w:rPr>
          <w:b/>
          <w:bCs/>
        </w:rPr>
        <w:t xml:space="preserve">Centro de Apoio Familiar – Lisboa</w:t>
      </w:r>
      <w:r>
        <w:t xml:space="preserve">, duas vezes por mês, com duração de 2 h, sob supervisão de psicólogo credenciado.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Avaliação Psicológica Periódica</w:t>
      </w:r>
      <w:r>
        <w:t xml:space="preserve"> </w:t>
      </w:r>
      <w:r>
        <w:t xml:space="preserve">– relatório a ser emitido a cada 6 (seis) meses pelo Dr. Mário Gonçalves, com recomendação de eventuais ajustes ao regime de visitas.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Plano de Acompanhamento Escolar</w:t>
      </w:r>
      <w:r>
        <w:t xml:space="preserve"> </w:t>
      </w:r>
      <w:r>
        <w:t xml:space="preserve">– contacto com a escola da menor (Escola Básica de São Vicente de Fora, Lisboa) para monitorização de rendimento e apoio pedagógico.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Nomeação de Curador</w:t>
      </w:r>
      <w:r>
        <w:t xml:space="preserve"> </w:t>
      </w:r>
      <w:r>
        <w:t xml:space="preserve">– caso persista a resistência do réu em cumprir o regime, requerer a nomeação de curador ad litem para representar os interesses da menor nas decisões futuras.</w:t>
      </w:r>
      <w:r>
        <w:br/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Cláusula de Revisão</w:t>
      </w:r>
      <w:r>
        <w:t xml:space="preserve"> </w:t>
      </w:r>
      <w:r>
        <w:t xml:space="preserve">– a sentença deverá prever revisão do regime parental a cada 12 (doze) meses, ou antes, caso surjam novos indícios de instabilidade.</w:t>
      </w:r>
    </w:p>
    <w:p>
      <w:r>
        <w:pict>
          <v:rect style="width:0;height:1.5pt" o:hralign="center" o:hrstd="t" o:hr="t"/>
        </w:pict>
      </w:r>
    </w:p>
    <w:bookmarkEnd w:id="17"/>
    <w:bookmarkStart w:id="18" w:name="vi.-conclusão"/>
    <w:p>
      <w:pPr>
        <w:pStyle w:val="Heading3"/>
      </w:pPr>
      <w:r>
        <w:t xml:space="preserve">VI. Conclusão</w:t>
      </w:r>
    </w:p>
    <w:p>
      <w:pPr>
        <w:pStyle w:val="FirstParagraph"/>
      </w:pPr>
      <w:r>
        <w:t xml:space="preserve">À luz dos factos apresentados, da legislação aplicável e da jurisprudência dominante, conclui‑se que a</w:t>
      </w:r>
      <w:r>
        <w:t xml:space="preserve"> </w:t>
      </w:r>
      <w:r>
        <w:rPr>
          <w:b/>
          <w:bCs/>
        </w:rPr>
        <w:t xml:space="preserve">não observância da nova guarda e do regime de visitas</w:t>
      </w:r>
      <w:r>
        <w:t xml:space="preserve"> </w:t>
      </w:r>
      <w:r>
        <w:t xml:space="preserve">configura risco real e atual de instabilidade emocional da menor Ana Sofia Pereira.</w:t>
      </w:r>
    </w:p>
    <w:p>
      <w:pPr>
        <w:pStyle w:val="BodyText"/>
      </w:pPr>
      <w:r>
        <w:t xml:space="preserve">É, portanto, juridicamente</w:t>
      </w:r>
      <w:r>
        <w:t xml:space="preserve"> </w:t>
      </w:r>
      <w:r>
        <w:rPr>
          <w:b/>
          <w:bCs/>
        </w:rPr>
        <w:t xml:space="preserve">justificada</w:t>
      </w:r>
      <w:r>
        <w:t xml:space="preserve"> </w:t>
      </w:r>
      <w:r>
        <w:t xml:space="preserve">a concessão de guarda exclusiva à mãe, bem como a imposição de visitas supervisionadas ao pai, acompanhadas das medidas de acompanhamento descritas no ponto V.</w:t>
      </w:r>
    </w:p>
    <w:p>
      <w:pPr>
        <w:pStyle w:val="BodyText"/>
      </w:pPr>
      <w:r>
        <w:t xml:space="preserve">Recomenda‑se a</w:t>
      </w:r>
      <w:r>
        <w:t xml:space="preserve"> </w:t>
      </w:r>
      <w:r>
        <w:rPr>
          <w:b/>
          <w:bCs/>
        </w:rPr>
        <w:t xml:space="preserve">interposição de pedido de modificação da guarda</w:t>
      </w:r>
      <w:r>
        <w:t xml:space="preserve"> </w:t>
      </w:r>
      <w:r>
        <w:t xml:space="preserve">junto da Vara da Família e dos Menores de Lisboa, com a juntada dos relatórios psicológicos, escolares e a proposta de plano de acompanhamento, a fim de assegurar a proteção integral da criança, em consonância com o melhor interesse constitucional e legal.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Elaborado por:</w:t>
      </w:r>
      <w:r>
        <w:br/>
      </w:r>
      <w:r>
        <w:t xml:space="preserve">Dr. Ana Sofia Martins – OA 12345</w:t>
      </w:r>
      <w:r>
        <w:br/>
      </w:r>
      <w:r>
        <w:t xml:space="preserve">Dr. Luís Fernando Carvalho – OA 67890</w:t>
      </w:r>
    </w:p>
    <w:p>
      <w:pPr>
        <w:pStyle w:val="BodyText"/>
      </w:pPr>
      <w:r>
        <w:rPr>
          <w:b/>
          <w:bCs/>
        </w:rPr>
        <w:t xml:space="preserve">Escritório:</w:t>
      </w:r>
      <w:r>
        <w:t xml:space="preserve"> </w:t>
      </w:r>
      <w:r>
        <w:t xml:space="preserve">Sociedade de Advogados Martins &amp; Carvalho, Lda., Rua da Constituição, nº 30, 3.º Esq., 1050‑155 Lisboa.</w:t>
      </w:r>
    </w:p>
    <w:p>
      <w:r>
        <w:pict>
          <v:rect style="width:0;height:1.5pt" o:hralign="center" o:hrstd="t" o:hr="t"/>
        </w:pic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2026-02-22T18:47:59Z</dcterms:created>
  <dcterms:modified xsi:type="dcterms:W3CDTF">2026-02-22T18:47:59Z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